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proofErr w:type="gramStart"/>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C072EB" w:rsidRDefault="001B075E" w:rsidP="00C15730">
      <w:pPr>
        <w:pStyle w:val="aa"/>
        <w:numPr>
          <w:ilvl w:val="0"/>
          <w:numId w:val="1"/>
        </w:numPr>
        <w:ind w:left="0" w:firstLine="567"/>
        <w:rPr>
          <w:rFonts w:ascii="Times New Roman" w:hAnsi="Times New Roman"/>
          <w:color w:val="FF0000"/>
          <w:sz w:val="28"/>
          <w:szCs w:val="28"/>
        </w:rPr>
      </w:pPr>
      <w:r w:rsidRPr="0012059F">
        <w:rPr>
          <w:rFonts w:ascii="Times New Roman" w:hAnsi="Times New Roman"/>
          <w:sz w:val="28"/>
          <w:szCs w:val="28"/>
        </w:rPr>
        <w:t xml:space="preserve">До момента закрытия соответствующего счета, счет считается открытым </w:t>
      </w:r>
      <w:r w:rsidRPr="00C072EB">
        <w:rPr>
          <w:rFonts w:ascii="Times New Roman" w:hAnsi="Times New Roman"/>
          <w:color w:val="FF0000"/>
          <w:sz w:val="28"/>
          <w:szCs w:val="28"/>
        </w:rPr>
        <w:t>и подлежит отражению в разделе 4 справки.</w:t>
      </w:r>
    </w:p>
    <w:p w:rsidR="001B075E" w:rsidRPr="00C072EB" w:rsidRDefault="001B075E" w:rsidP="00C15730">
      <w:pPr>
        <w:pStyle w:val="aa"/>
        <w:autoSpaceDE w:val="0"/>
        <w:autoSpaceDN w:val="0"/>
        <w:adjustRightInd w:val="0"/>
        <w:ind w:left="0" w:firstLine="567"/>
        <w:rPr>
          <w:rFonts w:ascii="Times New Roman" w:hAnsi="Times New Roman"/>
          <w:b/>
          <w:color w:val="FF0000"/>
          <w:sz w:val="28"/>
          <w:szCs w:val="28"/>
        </w:rPr>
      </w:pPr>
      <w:r w:rsidRPr="00C072EB">
        <w:rPr>
          <w:rFonts w:ascii="Times New Roman" w:hAnsi="Times New Roman"/>
          <w:b/>
          <w:color w:val="FF0000"/>
          <w:sz w:val="28"/>
          <w:szCs w:val="28"/>
        </w:rPr>
        <w:t>Ликвидация кредитной организации</w:t>
      </w:r>
    </w:p>
    <w:p w:rsidR="001B075E" w:rsidRPr="00C072EB" w:rsidRDefault="001B075E" w:rsidP="00C15730">
      <w:pPr>
        <w:pStyle w:val="aa"/>
        <w:widowControl w:val="0"/>
        <w:numPr>
          <w:ilvl w:val="0"/>
          <w:numId w:val="1"/>
        </w:numPr>
        <w:autoSpaceDE w:val="0"/>
        <w:autoSpaceDN w:val="0"/>
        <w:adjustRightInd w:val="0"/>
        <w:ind w:left="0" w:firstLine="567"/>
        <w:rPr>
          <w:rFonts w:ascii="Times New Roman" w:hAnsi="Times New Roman"/>
          <w:color w:val="FF0000"/>
          <w:sz w:val="28"/>
          <w:szCs w:val="28"/>
        </w:rPr>
      </w:pPr>
      <w:r w:rsidRPr="00C072EB">
        <w:rPr>
          <w:rFonts w:ascii="Times New Roman" w:hAnsi="Times New Roman"/>
          <w:color w:val="FF0000"/>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bookmarkStart w:id="9" w:name="_GoBack"/>
      <w:bookmarkEnd w:id="9"/>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633" w:rsidRDefault="00A27633" w:rsidP="00204BB5">
      <w:r>
        <w:separator/>
      </w:r>
    </w:p>
  </w:endnote>
  <w:endnote w:type="continuationSeparator" w:id="0">
    <w:p w:rsidR="00A27633" w:rsidRDefault="00A2763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633" w:rsidRDefault="00A27633" w:rsidP="00204BB5">
      <w:r>
        <w:separator/>
      </w:r>
    </w:p>
  </w:footnote>
  <w:footnote w:type="continuationSeparator" w:id="0">
    <w:p w:rsidR="00A27633" w:rsidRDefault="00A2763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EB" w:rsidRDefault="00C072EB">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55080">
      <w:rPr>
        <w:rFonts w:ascii="Times New Roman" w:hAnsi="Times New Roman"/>
        <w:noProof/>
        <w:sz w:val="28"/>
        <w:szCs w:val="28"/>
      </w:rPr>
      <w:t>54</w:t>
    </w:r>
    <w:r w:rsidRPr="00204BB5">
      <w:rPr>
        <w:rFonts w:ascii="Times New Roman" w:hAnsi="Times New Roman"/>
        <w:sz w:val="28"/>
        <w:szCs w:val="28"/>
      </w:rPr>
      <w:fldChar w:fldCharType="end"/>
    </w:r>
  </w:p>
  <w:p w:rsidR="00C072EB" w:rsidRDefault="00C072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C0E"/>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5080"/>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633"/>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171E"/>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2EB"/>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yperlink" Target="consultantplus://offline/ref=57E0B1C8ADAC653FBEA55D1E9049ED91A63B5BC1BDB036D12C5B445229pE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B56D997DFF08418E2DDB1C90BE1124" ma:contentTypeVersion="1" ma:contentTypeDescription="Создание документа." ma:contentTypeScope="" ma:versionID="e6b0236320961064851517010b77b95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XXJ7TYMEEKJ2-7495-56</_dlc_DocId>
    <_dlc_DocIdUrl xmlns="57504d04-691e-4fc4-8f09-4f19fdbe90f6">
      <Url>https://vip.gov.mari.ru/mturek/_layouts/DocIdRedir.aspx?ID=XXJ7TYMEEKJ2-7495-56</Url>
      <Description>XXJ7TYMEEKJ2-7495-56</Description>
    </_dlc_DocIdUrl>
  </documentManagement>
</p:properties>
</file>

<file path=customXml/itemProps1.xml><?xml version="1.0" encoding="utf-8"?>
<ds:datastoreItem xmlns:ds="http://schemas.openxmlformats.org/officeDocument/2006/customXml" ds:itemID="{3302FCE8-A667-456E-8A4C-025AE4C37B6D}"/>
</file>

<file path=customXml/itemProps2.xml><?xml version="1.0" encoding="utf-8"?>
<ds:datastoreItem xmlns:ds="http://schemas.openxmlformats.org/officeDocument/2006/customXml" ds:itemID="{13F5D545-235D-4E73-B6FD-5F99332180C7}"/>
</file>

<file path=customXml/itemProps3.xml><?xml version="1.0" encoding="utf-8"?>
<ds:datastoreItem xmlns:ds="http://schemas.openxmlformats.org/officeDocument/2006/customXml" ds:itemID="{8B85958A-41E1-473E-8AF3-E1B530DEC912}"/>
</file>

<file path=customXml/itemProps4.xml><?xml version="1.0" encoding="utf-8"?>
<ds:datastoreItem xmlns:ds="http://schemas.openxmlformats.org/officeDocument/2006/customXml" ds:itemID="{0ABA084B-CE73-4FC9-98B2-422D7DEE721F}"/>
</file>

<file path=customXml/itemProps5.xml><?xml version="1.0" encoding="utf-8"?>
<ds:datastoreItem xmlns:ds="http://schemas.openxmlformats.org/officeDocument/2006/customXml" ds:itemID="{6EDF8CB1-52E4-4DA5-991C-18D490E5C0D1}"/>
</file>

<file path=docProps/app.xml><?xml version="1.0" encoding="utf-8"?>
<Properties xmlns="http://schemas.openxmlformats.org/officeDocument/2006/extended-properties" xmlns:vt="http://schemas.openxmlformats.org/officeDocument/2006/docPropsVTypes">
  <Template>Normal</Template>
  <TotalTime>1</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dc:title>
  <dc:creator>KovalkovaEA</dc:creator>
  <cp:lastModifiedBy>user</cp:lastModifiedBy>
  <cp:revision>2</cp:revision>
  <cp:lastPrinted>2021-10-25T14:57:00Z</cp:lastPrinted>
  <dcterms:created xsi:type="dcterms:W3CDTF">2022-03-21T08:24:00Z</dcterms:created>
  <dcterms:modified xsi:type="dcterms:W3CDTF">2022-03-21T08:24:00Z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0x010100F1B56D997DFF08418E2DDB1C90BE1124</vt:lpwstr>
  </property>
  <property fmtid="{D5CDD505-2E9C-101B-9397-08002B2CF9AE}" pid="3" name="_dlc_DocIdItemGuid">
    <vt:lpwstr>9853d76e-0b11-4f37-b2a7-ec96dede4b17</vt:lpwstr>
  </property>
</Properties>
</file>